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Relevancy Admissions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Relevancy Admissions and Statements  |  Resource ID LAW-03-02-012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Use a dated incident sequence. Separate what the maker personally knows from information received from another source.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Relevancy Admissions and Statements a matter involving continuing conduct and repeated events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